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EAF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5" w:beforeAutospacing="0" w:after="90" w:afterAutospacing="0" w:line="450" w:lineRule="atLeast"/>
        <w:ind w:left="0" w:right="0" w:firstLine="0"/>
        <w:jc w:val="center"/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‌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施工单位综合评分表</w:t>
      </w:r>
    </w:p>
    <w:tbl>
      <w:tblPr>
        <w:tblStyle w:val="4"/>
        <w:tblW w:w="8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25"/>
        <w:gridCol w:w="3115"/>
        <w:gridCol w:w="1320"/>
        <w:gridCol w:w="1073"/>
      </w:tblGrid>
      <w:tr w14:paraId="1520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8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Style w:val="7"/>
                <w:rFonts w:eastAsia="宋体"/>
                <w:b/>
                <w:bCs/>
                <w:color w:val="auto"/>
                <w:lang w:val="en-US" w:eastAsia="zh-CN" w:bidi="ar"/>
              </w:rPr>
              <w:t>评价维度‌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4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Style w:val="7"/>
                <w:rFonts w:eastAsia="宋体"/>
                <w:b/>
                <w:bCs/>
                <w:color w:val="auto"/>
                <w:lang w:val="en-US" w:eastAsia="zh-CN" w:bidi="ar"/>
              </w:rPr>
              <w:t>评分项‌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3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Style w:val="7"/>
                <w:rFonts w:eastAsia="宋体"/>
                <w:b/>
                <w:bCs/>
                <w:color w:val="auto"/>
                <w:lang w:val="en-US" w:eastAsia="zh-CN" w:bidi="ar"/>
              </w:rPr>
              <w:t>评分标准‌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Style w:val="7"/>
                <w:rFonts w:eastAsia="宋体"/>
                <w:b/>
                <w:bCs/>
                <w:color w:val="auto"/>
                <w:lang w:val="en-US" w:eastAsia="zh-CN" w:bidi="ar"/>
              </w:rPr>
              <w:t>分值范围‌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D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Style w:val="7"/>
                <w:rFonts w:eastAsia="宋体"/>
                <w:b/>
                <w:bCs/>
                <w:color w:val="auto"/>
                <w:lang w:val="en-US" w:eastAsia="zh-CN" w:bidi="ar"/>
              </w:rPr>
              <w:t>得分‌</w:t>
            </w:r>
          </w:p>
        </w:tc>
      </w:tr>
      <w:tr w14:paraId="15AD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57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Style w:val="8"/>
                <w:rFonts w:eastAsia="宋体"/>
                <w:lang w:val="en-US" w:eastAsia="zh-CN" w:bidi="ar"/>
              </w:rPr>
              <w:t>一、单位资质（10分）</w:t>
            </w:r>
            <w:r>
              <w:rPr>
                <w:rStyle w:val="9"/>
                <w:rFonts w:eastAsia="宋体"/>
                <w:lang w:val="en-US" w:eastAsia="zh-CN" w:bidi="ar"/>
              </w:rPr>
              <w:t>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E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1.1 营业执照合规性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99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满足《中华人民共和国政府采购法》第二十二条规定，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营业执照合法有效，经营范围涵盖施工内容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5812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22E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Style w:val="8"/>
                <w:rFonts w:eastAsia="宋体"/>
                <w:lang w:val="en-US" w:eastAsia="zh-CN" w:bidi="ar"/>
              </w:rPr>
              <w:t>二、技术能力与管理水平（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20</w:t>
            </w:r>
            <w:r>
              <w:rPr>
                <w:rStyle w:val="8"/>
                <w:rFonts w:eastAsia="宋体"/>
                <w:lang w:val="en-US" w:eastAsia="zh-CN" w:bidi="ar"/>
              </w:rPr>
              <w:t>分）</w:t>
            </w:r>
            <w:r>
              <w:rPr>
                <w:rStyle w:val="9"/>
                <w:rFonts w:eastAsia="宋体"/>
                <w:lang w:val="en-US" w:eastAsia="zh-CN" w:bidi="ar"/>
              </w:rPr>
              <w:t>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3A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2.1 技术方案可行性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7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技术方案科学合理，针对性、可操作性强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9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F4CD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3A3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8C5A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D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进度控制能力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69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工期计划合理，具备动态调整措施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8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C4EC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31F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F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Style w:val="8"/>
                <w:rFonts w:eastAsia="宋体"/>
                <w:lang w:val="en-US" w:eastAsia="zh-CN" w:bidi="ar"/>
              </w:rPr>
              <w:t>三、以往业绩与信誉状况（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30</w:t>
            </w:r>
            <w:r>
              <w:rPr>
                <w:rStyle w:val="8"/>
                <w:rFonts w:eastAsia="宋体"/>
                <w:lang w:val="en-US" w:eastAsia="zh-CN" w:bidi="ar"/>
              </w:rPr>
              <w:t>分）</w:t>
            </w:r>
            <w:r>
              <w:rPr>
                <w:rStyle w:val="9"/>
                <w:rFonts w:eastAsia="宋体"/>
                <w:lang w:val="en-US" w:eastAsia="zh-CN" w:bidi="ar"/>
              </w:rPr>
              <w:t>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B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3.1 类似项目经验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9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近3年完成同类项目数量及规模（每项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分，最高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2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1E19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1A7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DA9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履约信誉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2B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无重大合同纠纷、行政处罚或安全事故记录（每项问题扣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C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C619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EE8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E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Style w:val="8"/>
                <w:rFonts w:eastAsia="宋体"/>
                <w:lang w:val="en-US" w:eastAsia="zh-CN" w:bidi="ar"/>
              </w:rPr>
              <w:t>四、人员保障与响应时间（30分）</w:t>
            </w:r>
            <w:r>
              <w:rPr>
                <w:rStyle w:val="9"/>
                <w:rFonts w:eastAsia="宋体"/>
                <w:lang w:val="en-US" w:eastAsia="zh-CN" w:bidi="ar"/>
              </w:rPr>
              <w:t>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BF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4.1 人员配备合理性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D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项目经理资质、技术团队经验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5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0-1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E33A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7BF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796A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6B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应急响应速度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14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zh-CN" w:eastAsia="zh-CN" w:bidi="ar"/>
              </w:rPr>
              <w:t>紧急维修2小时内查看现场、其他维修24小时内查看现场。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C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bookmarkStart w:id="0" w:name="_GoBack"/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bookmarkEnd w:id="0"/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68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7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BE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rFonts w:hint="eastAsia" w:eastAsia="宋体"/>
                <w:lang w:val="en-US" w:eastAsia="zh-CN" w:bidi="ar"/>
              </w:rPr>
              <w:t>五、维修服务承诺（10分）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5D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5.1维修服务承诺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3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维修服务质量保证期限，缺陷处理响应及时性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A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0-10分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4D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E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2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宋体"/>
                <w:lang w:val="en-US" w:eastAsia="zh-CN" w:bidi="ar"/>
              </w:rPr>
            </w:pPr>
            <w:r>
              <w:rPr>
                <w:rStyle w:val="8"/>
                <w:rFonts w:hint="eastAsia" w:eastAsia="宋体"/>
                <w:lang w:val="en-US" w:eastAsia="zh-CN" w:bidi="ar"/>
              </w:rPr>
              <w:t>总分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1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eastAsia="宋体"/>
                <w:lang w:val="en-US" w:eastAsia="zh-CN" w:bidi="ar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D2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eastAsia="宋体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C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eastAsia="宋体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4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eastAsia="宋体"/>
                <w:lang w:val="en-US" w:eastAsia="zh-CN" w:bidi="ar"/>
              </w:rPr>
            </w:pPr>
          </w:p>
        </w:tc>
      </w:tr>
    </w:tbl>
    <w:p w14:paraId="04C59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5" w:beforeAutospacing="0" w:after="90" w:afterAutospacing="0" w:line="450" w:lineRule="atLeast"/>
        <w:ind w:left="0" w:right="0" w:firstLine="0"/>
        <w:jc w:val="left"/>
      </w:pP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评分说明</w:t>
      </w:r>
    </w:p>
    <w:p w14:paraId="2F20D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评分标准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7CC2D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360"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优秀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达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到或超过标准要求（得满分或90%以上分值）；</w:t>
      </w:r>
    </w:p>
    <w:p w14:paraId="535EB0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360"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良好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‌：基本符合要求，存在少量不足（得80%-90%分值）；</w:t>
      </w:r>
    </w:p>
    <w:p w14:paraId="2327C2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360" w:leftChars="0" w:right="0" w:rightChars="0"/>
        <w:jc w:val="left"/>
      </w:pPr>
      <w:r>
        <w:rPr>
          <w:rStyle w:val="6"/>
          <w:rFonts w:hint="eastAsia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合格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‌：部分符合要求，需改进（得60%-80%分值）；</w:t>
      </w:r>
    </w:p>
    <w:p w14:paraId="364BF8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360" w:leftChars="0" w:right="0" w:rightChars="0"/>
        <w:jc w:val="left"/>
      </w:pPr>
      <w:r>
        <w:rPr>
          <w:rStyle w:val="6"/>
          <w:rFonts w:hint="eastAsia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不合格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‌：未达到要求或存在重大缺陷（得0-60%分值）。</w:t>
      </w:r>
    </w:p>
    <w:p w14:paraId="1E754D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总分计算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1BB9CF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360"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总分=各维度得分之和，满分100分；</w:t>
      </w:r>
    </w:p>
    <w:p w14:paraId="1465D6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360"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评级标准：≥90分（优秀），80-89分（良好），60-79分（合格），＜60分（不合格）。</w:t>
      </w:r>
    </w:p>
    <w:p w14:paraId="14CAC3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备注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47DCF1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360"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单位资质中任意一项不达标，直接取消参评资格。</w:t>
      </w:r>
    </w:p>
    <w:p w14:paraId="5A95A4EE"/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0A"/>
    <w:rsid w:val="00E86E0A"/>
    <w:rsid w:val="038F541B"/>
    <w:rsid w:val="03AD10E5"/>
    <w:rsid w:val="4EC57B0E"/>
    <w:rsid w:val="517717D9"/>
    <w:rsid w:val="637F7530"/>
    <w:rsid w:val="69110142"/>
    <w:rsid w:val="7C45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default" w:ascii="Arial" w:hAnsi="Arial" w:cs="Arial"/>
      <w:b/>
      <w:bCs/>
      <w:color w:val="848691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default" w:ascii="Arial" w:hAnsi="Arial" w:cs="Arial"/>
      <w:b/>
      <w:bCs/>
      <w:color w:val="333333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default"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619</Characters>
  <Lines>0</Lines>
  <Paragraphs>0</Paragraphs>
  <TotalTime>83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2025-04-22T08:54:00Z</dcterms:created>
  <dc:creator>谭光华</dc:creator>
  <cp:lastModifiedBy>PP</cp:lastModifiedBy>
  <cp:lastPrinted>2026-04-13T07:30:23Z</cp:lastPrinted>
  <dcterms:modified xsi:type="dcterms:W3CDTF">2026-04-13T07:40:32Z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54A4D23CEB564255AF7AF17A15017377_11</vt:lpwstr>
  </property>
  <property fmtid="{D5CDD505-2E9C-101B-9397-08002B2CF9AE}" pid="4" name="KSOTemplateDocerSaveRecord">
    <vt:lpwstr>eyJoZGlkIjoiZWUzMjUzZmE4NmQ4OGMyMDZjZmVjYzBmMjQxOWFjNTIiLCJ1c2VySWQiOiIzOTcwNzY4ODAifQ==</vt:lpwstr>
  </property>
</Properties>
</file>